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D4" w:rsidRPr="00F912D4" w:rsidRDefault="00F912D4" w:rsidP="00F912D4">
      <w:pPr>
        <w:jc w:val="both"/>
        <w:rPr>
          <w:rFonts w:ascii="Verdana" w:hAnsi="Verdana"/>
          <w:b/>
          <w:bCs/>
          <w:color w:val="000000"/>
          <w:sz w:val="20"/>
          <w:szCs w:val="20"/>
        </w:rPr>
      </w:pPr>
      <w:bookmarkStart w:id="0" w:name="PRIOR"/>
      <w:r w:rsidRPr="00F912D4">
        <w:rPr>
          <w:rStyle w:val="Strong"/>
          <w:rFonts w:ascii="Verdana" w:hAnsi="Verdana"/>
          <w:sz w:val="20"/>
          <w:szCs w:val="20"/>
        </w:rPr>
        <w:t xml:space="preserve">Priorities for Principal Teachers – </w:t>
      </w:r>
      <w:bookmarkEnd w:id="0"/>
      <w:r w:rsidRPr="00F912D4">
        <w:rPr>
          <w:rFonts w:ascii="Verdana" w:hAnsi="Verdana"/>
          <w:b/>
          <w:bCs/>
          <w:color w:val="000000"/>
          <w:sz w:val="20"/>
          <w:szCs w:val="20"/>
        </w:rPr>
        <w:t>External Agencies</w:t>
      </w:r>
    </w:p>
    <w:p w:rsidR="00F912D4" w:rsidRPr="00F912D4" w:rsidRDefault="00F912D4" w:rsidP="00F912D4">
      <w:pPr>
        <w:pStyle w:val="NormalWeb"/>
        <w:shd w:val="clear" w:color="auto" w:fill="FFFFFF"/>
        <w:spacing w:before="0" w:beforeAutospacing="0" w:after="0" w:afterAutospacing="0"/>
        <w:jc w:val="both"/>
        <w:rPr>
          <w:rFonts w:ascii="Verdana" w:hAnsi="Verdana"/>
          <w:color w:val="000000"/>
          <w:sz w:val="20"/>
          <w:szCs w:val="20"/>
          <w:bdr w:val="none" w:sz="0" w:space="0" w:color="auto" w:frame="1"/>
        </w:rPr>
      </w:pPr>
      <w:r w:rsidRPr="00F912D4">
        <w:rPr>
          <w:rFonts w:ascii="Verdana" w:hAnsi="Verdana"/>
          <w:color w:val="000000"/>
          <w:sz w:val="20"/>
          <w:szCs w:val="20"/>
          <w:bdr w:val="none" w:sz="0" w:space="0" w:color="auto" w:frame="1"/>
        </w:rPr>
        <w:t>The IPPN publication </w:t>
      </w:r>
      <w:hyperlink r:id="rId5" w:history="1">
        <w:r w:rsidRPr="00F912D4">
          <w:rPr>
            <w:rStyle w:val="Emphasis"/>
            <w:rFonts w:ascii="Verdana" w:hAnsi="Verdana"/>
            <w:b/>
            <w:color w:val="000000"/>
            <w:sz w:val="20"/>
            <w:szCs w:val="20"/>
            <w:bdr w:val="none" w:sz="0" w:space="0" w:color="auto" w:frame="1"/>
          </w:rPr>
          <w:t>Priorities for Principal Teachers – In Clear Focus</w:t>
        </w:r>
        <w:r w:rsidRPr="00F912D4">
          <w:rPr>
            <w:rStyle w:val="Hyperlink"/>
            <w:rFonts w:ascii="Verdana" w:hAnsi="Verdana"/>
            <w:color w:val="000000"/>
            <w:sz w:val="20"/>
            <w:szCs w:val="20"/>
            <w:u w:val="none"/>
            <w:bdr w:val="none" w:sz="0" w:space="0" w:color="auto" w:frame="1"/>
          </w:rPr>
          <w:t> </w:t>
        </w:r>
      </w:hyperlink>
      <w:r w:rsidRPr="00F912D4">
        <w:rPr>
          <w:rFonts w:ascii="Verdana" w:hAnsi="Verdana"/>
          <w:color w:val="000000"/>
          <w:sz w:val="20"/>
          <w:szCs w:val="20"/>
          <w:bdr w:val="none" w:sz="0" w:space="0" w:color="auto" w:frame="1"/>
        </w:rPr>
        <w:t> aims to empower principals to effectively manage their workload. Last week, in this series we focused on the Board of Management. This week, we focus on External Agencies and give examples of related tasks that the principal should deal with, tasks that can be delegated or shared, and those that the principal should not personally need to do.</w:t>
      </w:r>
    </w:p>
    <w:p w:rsidR="00F912D4" w:rsidRPr="00F912D4" w:rsidRDefault="00F912D4" w:rsidP="00F912D4">
      <w:pPr>
        <w:jc w:val="both"/>
        <w:rPr>
          <w:rFonts w:ascii="Verdana" w:hAnsi="Verdana"/>
          <w:color w:val="000000"/>
          <w:sz w:val="20"/>
          <w:szCs w:val="20"/>
        </w:rPr>
      </w:pPr>
      <w:bookmarkStart w:id="1" w:name="_GoBack"/>
      <w:bookmarkEnd w:id="1"/>
    </w:p>
    <w:p w:rsidR="00F912D4" w:rsidRPr="00F912D4" w:rsidRDefault="00F912D4" w:rsidP="00F912D4">
      <w:pPr>
        <w:jc w:val="both"/>
        <w:rPr>
          <w:rFonts w:ascii="Verdana" w:hAnsi="Verdana"/>
          <w:color w:val="000000"/>
          <w:sz w:val="20"/>
          <w:szCs w:val="20"/>
        </w:rPr>
      </w:pPr>
      <w:r w:rsidRPr="00F912D4">
        <w:rPr>
          <w:rFonts w:ascii="Verdana" w:hAnsi="Verdana"/>
          <w:color w:val="000000"/>
          <w:sz w:val="20"/>
          <w:szCs w:val="20"/>
        </w:rPr>
        <w:t>There are many external agencies which interact very positively with schools for the benefit of pupils and whose support is vital to effective teaching and learning. Schools are also very much part of their local community and will often have positive interactions with local organisations which can enhance the quality of the pupils’ education. While the interaction with such organisations is usually positive, it is important that principals manage it carefully so as to ensure it does not impinge unduly on their workload.</w:t>
      </w:r>
    </w:p>
    <w:p w:rsidR="00F912D4" w:rsidRPr="00F912D4" w:rsidRDefault="00F912D4" w:rsidP="00F912D4">
      <w:pPr>
        <w:jc w:val="both"/>
        <w:rPr>
          <w:rFonts w:ascii="Verdana" w:hAnsi="Verdana"/>
          <w:color w:val="000000"/>
          <w:sz w:val="20"/>
          <w:szCs w:val="20"/>
        </w:rPr>
      </w:pPr>
    </w:p>
    <w:p w:rsidR="00F912D4" w:rsidRPr="00F912D4" w:rsidRDefault="00F912D4" w:rsidP="00F912D4">
      <w:pPr>
        <w:jc w:val="both"/>
        <w:rPr>
          <w:rFonts w:ascii="Verdana" w:hAnsi="Verdana"/>
          <w:color w:val="000000"/>
          <w:sz w:val="20"/>
          <w:szCs w:val="20"/>
        </w:rPr>
      </w:pPr>
    </w:p>
    <w:tbl>
      <w:tblPr>
        <w:tblW w:w="0" w:type="auto"/>
        <w:tblCellMar>
          <w:left w:w="0" w:type="dxa"/>
          <w:right w:w="0" w:type="dxa"/>
        </w:tblCellMar>
        <w:tblLook w:val="04A0" w:firstRow="1" w:lastRow="0" w:firstColumn="1" w:lastColumn="0" w:noHBand="0" w:noVBand="1"/>
      </w:tblPr>
      <w:tblGrid>
        <w:gridCol w:w="2921"/>
        <w:gridCol w:w="3086"/>
        <w:gridCol w:w="2999"/>
      </w:tblGrid>
      <w:tr w:rsidR="00F912D4" w:rsidRPr="00F912D4" w:rsidTr="00C13CBB">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12D4" w:rsidRPr="00F912D4" w:rsidRDefault="00F912D4" w:rsidP="00F912D4">
            <w:pPr>
              <w:jc w:val="both"/>
              <w:rPr>
                <w:rFonts w:ascii="Verdana" w:hAnsi="Verdana"/>
                <w:b/>
                <w:bCs/>
                <w:color w:val="000000"/>
                <w:sz w:val="20"/>
                <w:szCs w:val="20"/>
              </w:rPr>
            </w:pPr>
            <w:r w:rsidRPr="00F912D4">
              <w:rPr>
                <w:rFonts w:ascii="Verdana" w:hAnsi="Verdana"/>
                <w:b/>
                <w:bCs/>
                <w:color w:val="000000"/>
                <w:sz w:val="20"/>
                <w:szCs w:val="20"/>
              </w:rPr>
              <w:t>Key Priorities for the Principal – Must Do</w:t>
            </w:r>
          </w:p>
        </w:tc>
        <w:tc>
          <w:tcPr>
            <w:tcW w:w="3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2D4" w:rsidRPr="00F912D4" w:rsidRDefault="00F912D4" w:rsidP="00F912D4">
            <w:pPr>
              <w:jc w:val="both"/>
              <w:rPr>
                <w:rFonts w:ascii="Verdana" w:hAnsi="Verdana"/>
                <w:b/>
                <w:bCs/>
                <w:color w:val="000000"/>
                <w:sz w:val="20"/>
                <w:szCs w:val="20"/>
              </w:rPr>
            </w:pPr>
            <w:r w:rsidRPr="00F912D4">
              <w:rPr>
                <w:rFonts w:ascii="Verdana" w:hAnsi="Verdana"/>
                <w:b/>
                <w:bCs/>
                <w:color w:val="000000"/>
                <w:sz w:val="20"/>
                <w:szCs w:val="20"/>
              </w:rPr>
              <w:t>Other Priorities – Could Delegate or Share</w:t>
            </w:r>
          </w:p>
        </w:tc>
        <w:tc>
          <w:tcPr>
            <w:tcW w:w="3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12D4" w:rsidRPr="00F912D4" w:rsidRDefault="00F912D4" w:rsidP="00F912D4">
            <w:pPr>
              <w:jc w:val="both"/>
              <w:rPr>
                <w:rFonts w:ascii="Verdana" w:hAnsi="Verdana"/>
                <w:b/>
                <w:bCs/>
                <w:color w:val="000000"/>
                <w:sz w:val="20"/>
                <w:szCs w:val="20"/>
              </w:rPr>
            </w:pPr>
            <w:r w:rsidRPr="00F912D4">
              <w:rPr>
                <w:rFonts w:ascii="Verdana" w:hAnsi="Verdana"/>
                <w:b/>
                <w:bCs/>
                <w:color w:val="000000"/>
                <w:sz w:val="20"/>
                <w:szCs w:val="20"/>
              </w:rPr>
              <w:t>Other Tasks – Deprioritise / Principal should not need to personally undertake</w:t>
            </w:r>
          </w:p>
        </w:tc>
      </w:tr>
      <w:tr w:rsidR="00F912D4" w:rsidRPr="00F912D4" w:rsidTr="00C13CBB">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2D4" w:rsidRPr="00F912D4" w:rsidRDefault="00F912D4" w:rsidP="00F912D4">
            <w:pPr>
              <w:numPr>
                <w:ilvl w:val="0"/>
                <w:numId w:val="1"/>
              </w:numPr>
              <w:ind w:left="284" w:hanging="284"/>
              <w:rPr>
                <w:rFonts w:ascii="Verdana" w:hAnsi="Verdana"/>
                <w:color w:val="000000"/>
                <w:sz w:val="20"/>
                <w:szCs w:val="20"/>
              </w:rPr>
            </w:pPr>
            <w:r w:rsidRPr="00F912D4">
              <w:rPr>
                <w:rFonts w:ascii="Verdana" w:hAnsi="Verdana"/>
                <w:color w:val="000000"/>
                <w:sz w:val="20"/>
                <w:szCs w:val="20"/>
              </w:rPr>
              <w:t xml:space="preserve">Report to </w:t>
            </w:r>
            <w:proofErr w:type="spellStart"/>
            <w:r w:rsidRPr="00F912D4">
              <w:rPr>
                <w:rFonts w:ascii="Verdana" w:hAnsi="Verdana"/>
                <w:color w:val="000000"/>
                <w:sz w:val="20"/>
                <w:szCs w:val="20"/>
              </w:rPr>
              <w:t>Tusla</w:t>
            </w:r>
            <w:proofErr w:type="spellEnd"/>
            <w:r w:rsidRPr="00F912D4">
              <w:rPr>
                <w:rFonts w:ascii="Verdana" w:hAnsi="Verdana"/>
                <w:color w:val="000000"/>
                <w:sz w:val="20"/>
                <w:szCs w:val="20"/>
              </w:rPr>
              <w:t xml:space="preserve"> where child abuse or neglect is suspected (Designated Liaison Person)</w:t>
            </w:r>
          </w:p>
          <w:p w:rsidR="00F912D4" w:rsidRPr="00F912D4" w:rsidRDefault="00F912D4" w:rsidP="00F912D4">
            <w:pPr>
              <w:numPr>
                <w:ilvl w:val="0"/>
                <w:numId w:val="1"/>
              </w:numPr>
              <w:ind w:left="284" w:hanging="284"/>
              <w:rPr>
                <w:rFonts w:ascii="Verdana" w:hAnsi="Verdana"/>
                <w:color w:val="000000"/>
                <w:sz w:val="20"/>
                <w:szCs w:val="20"/>
              </w:rPr>
            </w:pPr>
            <w:r w:rsidRPr="00F912D4">
              <w:rPr>
                <w:rFonts w:ascii="Verdana" w:hAnsi="Verdana"/>
                <w:color w:val="000000"/>
                <w:sz w:val="20"/>
                <w:szCs w:val="20"/>
              </w:rPr>
              <w:t xml:space="preserve">Cooperate with DES Inspectorate as required </w:t>
            </w:r>
          </w:p>
          <w:p w:rsidR="00F912D4" w:rsidRPr="00F912D4" w:rsidRDefault="00F912D4" w:rsidP="00F912D4">
            <w:pPr>
              <w:numPr>
                <w:ilvl w:val="0"/>
                <w:numId w:val="1"/>
              </w:numPr>
              <w:ind w:left="284" w:hanging="284"/>
              <w:rPr>
                <w:rFonts w:ascii="Verdana" w:hAnsi="Verdana"/>
                <w:color w:val="000000"/>
                <w:sz w:val="20"/>
                <w:szCs w:val="20"/>
              </w:rPr>
            </w:pPr>
            <w:r w:rsidRPr="00F912D4">
              <w:rPr>
                <w:rFonts w:ascii="Verdana" w:hAnsi="Verdana"/>
                <w:color w:val="000000"/>
                <w:sz w:val="20"/>
                <w:szCs w:val="20"/>
              </w:rPr>
              <w:t xml:space="preserve">Ensure compliance with legislation and with DES, </w:t>
            </w:r>
            <w:proofErr w:type="spellStart"/>
            <w:r w:rsidRPr="00F912D4">
              <w:rPr>
                <w:rFonts w:ascii="Verdana" w:hAnsi="Verdana"/>
                <w:color w:val="000000"/>
                <w:sz w:val="20"/>
                <w:szCs w:val="20"/>
              </w:rPr>
              <w:t>Tusla</w:t>
            </w:r>
            <w:proofErr w:type="spellEnd"/>
            <w:r w:rsidRPr="00F912D4">
              <w:rPr>
                <w:rFonts w:ascii="Verdana" w:hAnsi="Verdana"/>
                <w:color w:val="000000"/>
                <w:sz w:val="20"/>
                <w:szCs w:val="20"/>
              </w:rPr>
              <w:t>, National Council for Special Education (NCSE) and Teaching Council regulations</w:t>
            </w:r>
          </w:p>
          <w:p w:rsidR="00F912D4" w:rsidRPr="00F912D4" w:rsidRDefault="00F912D4" w:rsidP="00F912D4">
            <w:pPr>
              <w:numPr>
                <w:ilvl w:val="0"/>
                <w:numId w:val="1"/>
              </w:numPr>
              <w:ind w:left="284" w:hanging="284"/>
              <w:rPr>
                <w:rFonts w:ascii="Verdana" w:hAnsi="Verdana"/>
                <w:color w:val="000000"/>
                <w:sz w:val="20"/>
                <w:szCs w:val="20"/>
              </w:rPr>
            </w:pPr>
            <w:r w:rsidRPr="00F912D4">
              <w:rPr>
                <w:rFonts w:ascii="Verdana" w:hAnsi="Verdana"/>
                <w:color w:val="000000"/>
                <w:sz w:val="20"/>
                <w:szCs w:val="20"/>
                <w:lang w:eastAsia="en-IE"/>
              </w:rPr>
              <w:t>Maintain effective relationships within the school community</w:t>
            </w:r>
          </w:p>
          <w:p w:rsidR="00F912D4" w:rsidRPr="00F912D4" w:rsidRDefault="00F912D4" w:rsidP="00F912D4">
            <w:pPr>
              <w:numPr>
                <w:ilvl w:val="0"/>
                <w:numId w:val="1"/>
              </w:numPr>
              <w:ind w:left="284" w:hanging="284"/>
              <w:rPr>
                <w:rFonts w:ascii="Verdana" w:hAnsi="Verdana"/>
                <w:color w:val="000000"/>
                <w:sz w:val="20"/>
                <w:szCs w:val="20"/>
              </w:rPr>
            </w:pPr>
            <w:r w:rsidRPr="00F912D4">
              <w:rPr>
                <w:rFonts w:ascii="Verdana" w:hAnsi="Verdana"/>
                <w:color w:val="000000"/>
                <w:sz w:val="20"/>
                <w:szCs w:val="20"/>
                <w:lang w:eastAsia="en-IE"/>
              </w:rPr>
              <w:t>Support visits by those promoting the ethos of the school</w:t>
            </w:r>
            <w:r w:rsidRPr="00F912D4">
              <w:rPr>
                <w:rFonts w:ascii="Verdana" w:hAnsi="Verdana"/>
                <w:color w:val="000000"/>
                <w:sz w:val="20"/>
                <w:szCs w:val="20"/>
              </w:rPr>
              <w:t>.</w:t>
            </w:r>
          </w:p>
          <w:p w:rsidR="00F912D4" w:rsidRPr="00F912D4" w:rsidRDefault="00F912D4" w:rsidP="00F912D4">
            <w:pPr>
              <w:jc w:val="both"/>
              <w:rPr>
                <w:rFonts w:ascii="Verdana" w:hAnsi="Verdana"/>
                <w:b/>
                <w:bCs/>
                <w:color w:val="000000"/>
                <w:sz w:val="20"/>
                <w:szCs w:val="20"/>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hideMark/>
          </w:tcPr>
          <w:p w:rsidR="00F912D4" w:rsidRPr="00F912D4" w:rsidRDefault="00F912D4" w:rsidP="00F912D4">
            <w:pPr>
              <w:numPr>
                <w:ilvl w:val="0"/>
                <w:numId w:val="1"/>
              </w:numPr>
              <w:spacing w:line="276" w:lineRule="auto"/>
              <w:ind w:left="281" w:hanging="281"/>
              <w:rPr>
                <w:rFonts w:ascii="Verdana" w:hAnsi="Verdana"/>
                <w:color w:val="000000"/>
                <w:sz w:val="20"/>
                <w:szCs w:val="20"/>
                <w:lang w:eastAsia="en-IE"/>
              </w:rPr>
            </w:pPr>
            <w:r w:rsidRPr="00F912D4">
              <w:rPr>
                <w:rFonts w:ascii="Verdana" w:hAnsi="Verdana"/>
                <w:color w:val="000000"/>
                <w:sz w:val="20"/>
                <w:szCs w:val="20"/>
                <w:lang w:eastAsia="en-IE"/>
              </w:rPr>
              <w:t>Deal with requests for work experience, teaching practice and research</w:t>
            </w:r>
          </w:p>
          <w:p w:rsidR="00F912D4" w:rsidRPr="00F912D4" w:rsidRDefault="00F912D4" w:rsidP="00F912D4">
            <w:pPr>
              <w:numPr>
                <w:ilvl w:val="0"/>
                <w:numId w:val="1"/>
              </w:numPr>
              <w:spacing w:line="276" w:lineRule="auto"/>
              <w:ind w:left="281" w:hanging="281"/>
              <w:rPr>
                <w:rFonts w:ascii="Verdana" w:hAnsi="Verdana"/>
                <w:color w:val="000000"/>
                <w:sz w:val="20"/>
                <w:szCs w:val="20"/>
                <w:lang w:eastAsia="en-IE"/>
              </w:rPr>
            </w:pPr>
            <w:r w:rsidRPr="00F912D4">
              <w:rPr>
                <w:rFonts w:ascii="Verdana" w:hAnsi="Verdana"/>
                <w:color w:val="000000"/>
                <w:sz w:val="20"/>
                <w:szCs w:val="20"/>
                <w:lang w:eastAsia="en-IE"/>
              </w:rPr>
              <w:t>Facilitate the distribution of HSE consent forms and appointments for medical and dental screening</w:t>
            </w:r>
          </w:p>
          <w:p w:rsidR="00F912D4" w:rsidRPr="00F912D4" w:rsidRDefault="00F912D4" w:rsidP="00F912D4">
            <w:pPr>
              <w:numPr>
                <w:ilvl w:val="0"/>
                <w:numId w:val="1"/>
              </w:numPr>
              <w:spacing w:line="276" w:lineRule="auto"/>
              <w:ind w:left="281" w:hanging="281"/>
              <w:rPr>
                <w:rFonts w:ascii="Verdana" w:hAnsi="Verdana"/>
                <w:color w:val="000000"/>
                <w:sz w:val="20"/>
                <w:szCs w:val="20"/>
                <w:lang w:eastAsia="en-IE"/>
              </w:rPr>
            </w:pPr>
            <w:r w:rsidRPr="00F912D4">
              <w:rPr>
                <w:rFonts w:ascii="Verdana" w:hAnsi="Verdana"/>
                <w:color w:val="000000"/>
                <w:sz w:val="20"/>
                <w:szCs w:val="20"/>
                <w:lang w:eastAsia="en-IE"/>
              </w:rPr>
              <w:t>Provide statistical data as required by DES</w:t>
            </w:r>
          </w:p>
          <w:p w:rsidR="00F912D4" w:rsidRPr="00F912D4" w:rsidRDefault="00F912D4" w:rsidP="00F912D4">
            <w:pPr>
              <w:numPr>
                <w:ilvl w:val="0"/>
                <w:numId w:val="1"/>
              </w:numPr>
              <w:spacing w:line="276" w:lineRule="auto"/>
              <w:ind w:left="281" w:hanging="281"/>
              <w:rPr>
                <w:rFonts w:ascii="Verdana" w:hAnsi="Verdana"/>
                <w:color w:val="000000"/>
                <w:sz w:val="20"/>
                <w:szCs w:val="20"/>
                <w:lang w:eastAsia="en-IE"/>
              </w:rPr>
            </w:pPr>
            <w:r w:rsidRPr="00F912D4">
              <w:rPr>
                <w:rFonts w:ascii="Verdana" w:hAnsi="Verdana"/>
                <w:color w:val="000000"/>
                <w:sz w:val="20"/>
                <w:szCs w:val="20"/>
                <w:lang w:eastAsia="en-IE"/>
              </w:rPr>
              <w:t xml:space="preserve">Facilitate educational visits by fire service, local Gardaí, Juvenile Liaison Officer,  community groups and others </w:t>
            </w:r>
          </w:p>
          <w:p w:rsidR="00F912D4" w:rsidRPr="00F912D4" w:rsidRDefault="00F912D4" w:rsidP="00F912D4">
            <w:pPr>
              <w:numPr>
                <w:ilvl w:val="0"/>
                <w:numId w:val="1"/>
              </w:numPr>
              <w:spacing w:line="276" w:lineRule="auto"/>
              <w:ind w:left="281" w:hanging="281"/>
              <w:rPr>
                <w:rFonts w:ascii="Verdana" w:hAnsi="Verdana"/>
                <w:b/>
                <w:bCs/>
                <w:color w:val="000000"/>
                <w:sz w:val="20"/>
                <w:szCs w:val="20"/>
              </w:rPr>
            </w:pPr>
            <w:r w:rsidRPr="00F912D4">
              <w:rPr>
                <w:rFonts w:ascii="Verdana" w:hAnsi="Verdana"/>
                <w:color w:val="000000"/>
                <w:sz w:val="20"/>
                <w:szCs w:val="20"/>
                <w:lang w:eastAsia="en-IE"/>
              </w:rPr>
              <w:t>Organise visits from ‘role models’ from Sports, the Arts</w:t>
            </w:r>
          </w:p>
        </w:tc>
        <w:tc>
          <w:tcPr>
            <w:tcW w:w="3263" w:type="dxa"/>
            <w:tcBorders>
              <w:top w:val="nil"/>
              <w:left w:val="nil"/>
              <w:bottom w:val="single" w:sz="8" w:space="0" w:color="auto"/>
              <w:right w:val="single" w:sz="8" w:space="0" w:color="auto"/>
            </w:tcBorders>
            <w:tcMar>
              <w:top w:w="0" w:type="dxa"/>
              <w:left w:w="108" w:type="dxa"/>
              <w:bottom w:w="0" w:type="dxa"/>
              <w:right w:w="108" w:type="dxa"/>
            </w:tcMar>
          </w:tcPr>
          <w:p w:rsidR="00F912D4" w:rsidRPr="00F912D4" w:rsidRDefault="00F912D4" w:rsidP="00F912D4">
            <w:pPr>
              <w:numPr>
                <w:ilvl w:val="0"/>
                <w:numId w:val="1"/>
              </w:numPr>
              <w:spacing w:line="276" w:lineRule="auto"/>
              <w:ind w:left="278" w:hanging="278"/>
              <w:rPr>
                <w:rFonts w:ascii="Verdana" w:hAnsi="Verdana"/>
                <w:color w:val="000000"/>
                <w:sz w:val="20"/>
                <w:szCs w:val="20"/>
              </w:rPr>
            </w:pPr>
            <w:r w:rsidRPr="00F912D4">
              <w:rPr>
                <w:rFonts w:ascii="Verdana" w:hAnsi="Verdana"/>
                <w:color w:val="000000"/>
                <w:sz w:val="20"/>
                <w:szCs w:val="20"/>
              </w:rPr>
              <w:t>Disseminate commercial advertising materials</w:t>
            </w:r>
          </w:p>
          <w:p w:rsidR="00F912D4" w:rsidRPr="00F912D4" w:rsidRDefault="00F912D4" w:rsidP="00F912D4">
            <w:pPr>
              <w:numPr>
                <w:ilvl w:val="0"/>
                <w:numId w:val="1"/>
              </w:numPr>
              <w:spacing w:line="276" w:lineRule="auto"/>
              <w:ind w:left="278" w:hanging="278"/>
              <w:rPr>
                <w:rFonts w:ascii="Verdana" w:hAnsi="Verdana"/>
                <w:color w:val="000000"/>
                <w:sz w:val="20"/>
                <w:szCs w:val="20"/>
                <w:lang w:eastAsia="en-IE"/>
              </w:rPr>
            </w:pPr>
            <w:r w:rsidRPr="00F912D4">
              <w:rPr>
                <w:rFonts w:ascii="Verdana" w:hAnsi="Verdana"/>
                <w:color w:val="000000"/>
                <w:sz w:val="20"/>
                <w:szCs w:val="20"/>
                <w:lang w:eastAsia="en-IE"/>
              </w:rPr>
              <w:t>Participate in commercial voucher/coupon collection schemes for school supplies</w:t>
            </w:r>
          </w:p>
          <w:p w:rsidR="00F912D4" w:rsidRPr="00F912D4" w:rsidRDefault="00F912D4" w:rsidP="00F912D4">
            <w:pPr>
              <w:pStyle w:val="ListParagraph"/>
              <w:numPr>
                <w:ilvl w:val="0"/>
                <w:numId w:val="1"/>
              </w:numPr>
              <w:autoSpaceDE w:val="0"/>
              <w:autoSpaceDN w:val="0"/>
              <w:spacing w:after="0" w:line="240" w:lineRule="auto"/>
              <w:ind w:left="278" w:hanging="278"/>
              <w:rPr>
                <w:rFonts w:ascii="Verdana" w:hAnsi="Verdana"/>
                <w:color w:val="000000"/>
                <w:sz w:val="20"/>
                <w:szCs w:val="20"/>
              </w:rPr>
            </w:pPr>
            <w:r w:rsidRPr="00F912D4">
              <w:rPr>
                <w:rFonts w:ascii="Verdana" w:hAnsi="Verdana"/>
                <w:color w:val="000000"/>
                <w:sz w:val="20"/>
                <w:szCs w:val="20"/>
              </w:rPr>
              <w:t>Carry out administrative functions for the HSE, such as sorting out returned dental or medical forms or scheduling medical appointments</w:t>
            </w:r>
          </w:p>
          <w:p w:rsidR="00F912D4" w:rsidRPr="00F912D4" w:rsidRDefault="00F912D4" w:rsidP="00F912D4">
            <w:pPr>
              <w:numPr>
                <w:ilvl w:val="0"/>
                <w:numId w:val="1"/>
              </w:numPr>
              <w:spacing w:line="276" w:lineRule="auto"/>
              <w:ind w:left="278" w:hanging="278"/>
              <w:rPr>
                <w:rFonts w:ascii="Verdana" w:hAnsi="Verdana"/>
                <w:color w:val="000000"/>
                <w:sz w:val="20"/>
                <w:szCs w:val="20"/>
                <w:lang w:eastAsia="en-IE"/>
              </w:rPr>
            </w:pPr>
            <w:r w:rsidRPr="00F912D4">
              <w:rPr>
                <w:rFonts w:ascii="Verdana" w:hAnsi="Verdana"/>
                <w:color w:val="000000"/>
                <w:sz w:val="20"/>
                <w:szCs w:val="20"/>
                <w:lang w:eastAsia="en-IE"/>
              </w:rPr>
              <w:t>Accommodate salespeople, other than by appointment</w:t>
            </w:r>
          </w:p>
          <w:p w:rsidR="00F912D4" w:rsidRPr="00F912D4" w:rsidRDefault="00F912D4" w:rsidP="00F912D4">
            <w:pPr>
              <w:numPr>
                <w:ilvl w:val="0"/>
                <w:numId w:val="1"/>
              </w:numPr>
              <w:spacing w:line="276" w:lineRule="auto"/>
              <w:ind w:left="278" w:hanging="278"/>
              <w:rPr>
                <w:rFonts w:ascii="Verdana" w:hAnsi="Verdana"/>
                <w:b/>
                <w:bCs/>
                <w:color w:val="000000"/>
                <w:sz w:val="20"/>
                <w:szCs w:val="20"/>
              </w:rPr>
            </w:pPr>
            <w:r w:rsidRPr="00F912D4">
              <w:rPr>
                <w:rFonts w:ascii="Verdana" w:hAnsi="Verdana"/>
                <w:color w:val="000000"/>
                <w:sz w:val="20"/>
                <w:szCs w:val="20"/>
                <w:lang w:eastAsia="en-IE"/>
              </w:rPr>
              <w:t>Sort mail</w:t>
            </w:r>
          </w:p>
          <w:p w:rsidR="00F912D4" w:rsidRPr="00F912D4" w:rsidRDefault="00F912D4" w:rsidP="00F912D4">
            <w:pPr>
              <w:jc w:val="both"/>
              <w:rPr>
                <w:rFonts w:ascii="Verdana" w:hAnsi="Verdana"/>
                <w:b/>
                <w:bCs/>
                <w:color w:val="000000"/>
                <w:sz w:val="20"/>
                <w:szCs w:val="20"/>
              </w:rPr>
            </w:pPr>
          </w:p>
        </w:tc>
      </w:tr>
    </w:tbl>
    <w:p w:rsidR="00F912D4" w:rsidRPr="00F912D4" w:rsidRDefault="00F912D4" w:rsidP="00F912D4">
      <w:pPr>
        <w:jc w:val="both"/>
        <w:rPr>
          <w:rFonts w:ascii="Verdana" w:hAnsi="Verdana"/>
          <w:sz w:val="20"/>
          <w:szCs w:val="20"/>
        </w:rPr>
      </w:pPr>
      <w:r w:rsidRPr="00F912D4">
        <w:rPr>
          <w:rFonts w:ascii="Verdana" w:hAnsi="Verdana"/>
          <w:sz w:val="20"/>
          <w:szCs w:val="20"/>
        </w:rPr>
        <w:br/>
      </w:r>
      <w:hyperlink r:id="rId6" w:history="1">
        <w:r w:rsidRPr="00F912D4">
          <w:rPr>
            <w:rStyle w:val="Hyperlink"/>
            <w:rFonts w:ascii="Verdana" w:hAnsi="Verdana"/>
            <w:sz w:val="20"/>
            <w:szCs w:val="20"/>
          </w:rPr>
          <w:t>Click here for details of the Standardised School Year</w:t>
        </w:r>
      </w:hyperlink>
    </w:p>
    <w:p w:rsidR="002635A3" w:rsidRDefault="002635A3"/>
    <w:sectPr w:rsidR="00263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603E3"/>
    <w:multiLevelType w:val="hybridMultilevel"/>
    <w:tmpl w:val="09CC45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D4"/>
    <w:rsid w:val="002635A3"/>
    <w:rsid w:val="00F91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14606-0D1F-48FA-99A7-E216CF7E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2D4"/>
    <w:rPr>
      <w:color w:val="0563C1"/>
      <w:u w:val="single"/>
    </w:rPr>
  </w:style>
  <w:style w:type="paragraph" w:styleId="NormalWeb">
    <w:name w:val="Normal (Web)"/>
    <w:basedOn w:val="Normal"/>
    <w:uiPriority w:val="99"/>
    <w:semiHidden/>
    <w:unhideWhenUsed/>
    <w:rsid w:val="00F912D4"/>
    <w:pPr>
      <w:spacing w:before="100" w:beforeAutospacing="1" w:after="100" w:afterAutospacing="1"/>
    </w:pPr>
    <w:rPr>
      <w:rFonts w:ascii="Times New Roman" w:hAnsi="Times New Roman"/>
      <w:sz w:val="24"/>
      <w:szCs w:val="24"/>
      <w:lang w:eastAsia="en-IE"/>
    </w:rPr>
  </w:style>
  <w:style w:type="character" w:styleId="Emphasis">
    <w:name w:val="Emphasis"/>
    <w:basedOn w:val="DefaultParagraphFont"/>
    <w:uiPriority w:val="20"/>
    <w:qFormat/>
    <w:rsid w:val="00F912D4"/>
    <w:rPr>
      <w:i/>
      <w:iCs/>
    </w:rPr>
  </w:style>
  <w:style w:type="character" w:styleId="Strong">
    <w:name w:val="Strong"/>
    <w:basedOn w:val="DefaultParagraphFont"/>
    <w:uiPriority w:val="22"/>
    <w:qFormat/>
    <w:rsid w:val="00F912D4"/>
    <w:rPr>
      <w:b/>
      <w:bCs/>
    </w:rPr>
  </w:style>
  <w:style w:type="paragraph" w:styleId="ListParagraph">
    <w:name w:val="List Paragraph"/>
    <w:basedOn w:val="Normal"/>
    <w:uiPriority w:val="34"/>
    <w:qFormat/>
    <w:rsid w:val="00F912D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pn.ie/index.php/resources/des-circulars/2017/5417-0009-2017-standardisation-of-the-school-year-in-respect-of-primary-post-primary-schools-for-the-years-2017-18-2018-19-and-2019-20" TargetMode="External"/><Relationship Id="rId5" Type="http://schemas.openxmlformats.org/officeDocument/2006/relationships/hyperlink" Target="https://www.ippn.ie/index.php/advocacy/publications/4752-priorities-for-principal-teachers-in-clear-fo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Hallahan</dc:creator>
  <cp:keywords/>
  <dc:description/>
  <cp:lastModifiedBy>Rachel Hallahan</cp:lastModifiedBy>
  <cp:revision>1</cp:revision>
  <dcterms:created xsi:type="dcterms:W3CDTF">2017-12-14T13:36:00Z</dcterms:created>
  <dcterms:modified xsi:type="dcterms:W3CDTF">2017-12-14T13:41:00Z</dcterms:modified>
</cp:coreProperties>
</file>